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CB" w:rsidRDefault="00B526CB" w:rsidP="00B526CB">
      <w:pPr>
        <w:pBdr>
          <w:bottom w:val="single" w:sz="8" w:space="4" w:color="5B9BD5" w:themeColor="accent1"/>
        </w:pBdr>
        <w:spacing w:after="300" w:line="240" w:lineRule="auto"/>
        <w:contextualSpacing/>
        <w:rPr>
          <w:rFonts w:ascii="Times New Roman" w:eastAsiaTheme="majorEastAsia" w:hAnsi="Times New Roman" w:cs="Times New Roman"/>
          <w:color w:val="323E4F" w:themeColor="text2" w:themeShade="BF"/>
          <w:spacing w:val="5"/>
          <w:kern w:val="28"/>
          <w:sz w:val="52"/>
          <w:szCs w:val="52"/>
        </w:rPr>
      </w:pPr>
    </w:p>
    <w:p w:rsidR="00B526CB" w:rsidRPr="00A63901" w:rsidRDefault="00B526CB" w:rsidP="00B526CB">
      <w:pPr>
        <w:pBdr>
          <w:bottom w:val="single" w:sz="8" w:space="4" w:color="5B9BD5" w:themeColor="accent1"/>
        </w:pBdr>
        <w:spacing w:after="300" w:line="240" w:lineRule="auto"/>
        <w:contextualSpacing/>
        <w:rPr>
          <w:rFonts w:ascii="Times New Roman" w:eastAsiaTheme="majorEastAsia" w:hAnsi="Times New Roman" w:cs="Times New Roman"/>
          <w:color w:val="323E4F" w:themeColor="text2" w:themeShade="BF"/>
          <w:spacing w:val="5"/>
          <w:kern w:val="28"/>
          <w:sz w:val="52"/>
          <w:szCs w:val="52"/>
        </w:rPr>
      </w:pPr>
      <w:bookmarkStart w:id="0" w:name="_GoBack"/>
      <w:bookmarkEnd w:id="0"/>
      <w:r w:rsidRPr="00A63901">
        <w:rPr>
          <w:rFonts w:ascii="Times New Roman" w:eastAsiaTheme="majorEastAsia" w:hAnsi="Times New Roman" w:cs="Times New Roman"/>
          <w:color w:val="323E4F" w:themeColor="text2" w:themeShade="BF"/>
          <w:spacing w:val="5"/>
          <w:kern w:val="28"/>
          <w:sz w:val="52"/>
          <w:szCs w:val="52"/>
        </w:rPr>
        <w:t>Templehill Surgery</w:t>
      </w:r>
    </w:p>
    <w:p w:rsidR="00B526CB" w:rsidRPr="002C44AF" w:rsidRDefault="00B526CB" w:rsidP="00B526CB">
      <w:pPr>
        <w:jc w:val="center"/>
        <w:rPr>
          <w:b/>
          <w:sz w:val="32"/>
          <w:szCs w:val="32"/>
        </w:rPr>
      </w:pPr>
    </w:p>
    <w:p w:rsidR="00B526CB" w:rsidRDefault="00B526CB" w:rsidP="00B526CB">
      <w:pPr>
        <w:rPr>
          <w:b/>
          <w:sz w:val="32"/>
          <w:szCs w:val="32"/>
          <w:u w:val="single"/>
        </w:rPr>
      </w:pPr>
      <w:r>
        <w:rPr>
          <w:b/>
          <w:sz w:val="32"/>
          <w:szCs w:val="32"/>
          <w:u w:val="single"/>
        </w:rPr>
        <w:t>Duty of Candour Report</w:t>
      </w:r>
    </w:p>
    <w:p w:rsidR="00B526CB" w:rsidRPr="001B0FD8" w:rsidRDefault="00B526CB" w:rsidP="00B526CB">
      <w:pPr>
        <w:rPr>
          <w:b/>
          <w:sz w:val="32"/>
          <w:szCs w:val="32"/>
          <w:u w:val="single"/>
        </w:rPr>
      </w:pPr>
      <w:r>
        <w:rPr>
          <w:b/>
          <w:sz w:val="32"/>
          <w:szCs w:val="32"/>
          <w:u w:val="single"/>
        </w:rPr>
        <w:t>1</w:t>
      </w:r>
      <w:r w:rsidRPr="001B0FD8">
        <w:rPr>
          <w:b/>
          <w:sz w:val="32"/>
          <w:szCs w:val="32"/>
          <w:u w:val="single"/>
          <w:vertAlign w:val="superscript"/>
        </w:rPr>
        <w:t>st</w:t>
      </w:r>
      <w:r>
        <w:rPr>
          <w:b/>
          <w:sz w:val="32"/>
          <w:szCs w:val="32"/>
          <w:u w:val="single"/>
        </w:rPr>
        <w:t xml:space="preserve"> April 2022 – 31</w:t>
      </w:r>
      <w:r w:rsidRPr="001B0FD8">
        <w:rPr>
          <w:b/>
          <w:sz w:val="32"/>
          <w:szCs w:val="32"/>
          <w:u w:val="single"/>
          <w:vertAlign w:val="superscript"/>
        </w:rPr>
        <w:t>st</w:t>
      </w:r>
      <w:r>
        <w:rPr>
          <w:b/>
          <w:sz w:val="32"/>
          <w:szCs w:val="32"/>
          <w:u w:val="single"/>
        </w:rPr>
        <w:t xml:space="preserve"> March 2023 </w:t>
      </w:r>
    </w:p>
    <w:p w:rsidR="00B526CB" w:rsidRDefault="00B526CB" w:rsidP="00B526CB">
      <w:pPr>
        <w:rPr>
          <w:sz w:val="24"/>
          <w:szCs w:val="24"/>
        </w:rPr>
      </w:pPr>
      <w:r>
        <w:rPr>
          <w:sz w:val="24"/>
          <w:szCs w:val="24"/>
        </w:rPr>
        <w:t>The Health (Tobacco, Nicotine etc. and care) (Scotland) Act 2016 sets out that organisations must prepare and publish an annual report of unintended or unexpected incidents that have occurred during the year.</w:t>
      </w:r>
    </w:p>
    <w:p w:rsidR="00B526CB" w:rsidRDefault="00B526CB" w:rsidP="00B526CB">
      <w:pPr>
        <w:rPr>
          <w:sz w:val="24"/>
          <w:szCs w:val="24"/>
        </w:rPr>
      </w:pPr>
      <w:r>
        <w:rPr>
          <w:sz w:val="24"/>
          <w:szCs w:val="24"/>
        </w:rPr>
        <w:t>Only incidents where significant harm has resulted need shared.  You must publish a report even if no incidents have happened.</w:t>
      </w:r>
    </w:p>
    <w:p w:rsidR="00B526CB" w:rsidRDefault="00B526CB" w:rsidP="00B526CB">
      <w:pPr>
        <w:rPr>
          <w:sz w:val="24"/>
          <w:szCs w:val="24"/>
        </w:rPr>
      </w:pPr>
      <w:r>
        <w:rPr>
          <w:sz w:val="24"/>
          <w:szCs w:val="24"/>
        </w:rPr>
        <w:t xml:space="preserve">When published, an email notification should be sent to </w:t>
      </w:r>
      <w:hyperlink r:id="rId4" w:history="1">
        <w:r w:rsidRPr="001A0A2B">
          <w:rPr>
            <w:rStyle w:val="Hyperlink"/>
            <w:sz w:val="24"/>
            <w:szCs w:val="24"/>
          </w:rPr>
          <w:t>dutyofcandour@gov.scot</w:t>
        </w:r>
      </w:hyperlink>
      <w:r>
        <w:rPr>
          <w:sz w:val="24"/>
          <w:szCs w:val="24"/>
        </w:rPr>
        <w:t xml:space="preserve"> </w:t>
      </w:r>
    </w:p>
    <w:tbl>
      <w:tblPr>
        <w:tblStyle w:val="TableGrid"/>
        <w:tblW w:w="0" w:type="auto"/>
        <w:tblLayout w:type="fixed"/>
        <w:tblLook w:val="04A0" w:firstRow="1" w:lastRow="0" w:firstColumn="1" w:lastColumn="0" w:noHBand="0" w:noVBand="1"/>
      </w:tblPr>
      <w:tblGrid>
        <w:gridCol w:w="704"/>
        <w:gridCol w:w="1701"/>
        <w:gridCol w:w="1276"/>
        <w:gridCol w:w="2977"/>
        <w:gridCol w:w="2268"/>
        <w:gridCol w:w="2976"/>
      </w:tblGrid>
      <w:tr w:rsidR="00B526CB" w:rsidRPr="001B0FD8" w:rsidTr="00A61BE2">
        <w:tc>
          <w:tcPr>
            <w:tcW w:w="704" w:type="dxa"/>
          </w:tcPr>
          <w:p w:rsidR="00B526CB" w:rsidRPr="001B0FD8" w:rsidRDefault="00B526CB" w:rsidP="00A61BE2">
            <w:pPr>
              <w:rPr>
                <w:b/>
                <w:sz w:val="24"/>
                <w:szCs w:val="24"/>
              </w:rPr>
            </w:pPr>
            <w:r w:rsidRPr="001B0FD8">
              <w:rPr>
                <w:b/>
                <w:sz w:val="24"/>
                <w:szCs w:val="24"/>
              </w:rPr>
              <w:t>No</w:t>
            </w:r>
          </w:p>
        </w:tc>
        <w:tc>
          <w:tcPr>
            <w:tcW w:w="1701" w:type="dxa"/>
          </w:tcPr>
          <w:p w:rsidR="00B526CB" w:rsidRPr="001B0FD8" w:rsidRDefault="00B526CB" w:rsidP="00A61BE2">
            <w:pPr>
              <w:rPr>
                <w:b/>
                <w:sz w:val="24"/>
                <w:szCs w:val="24"/>
              </w:rPr>
            </w:pPr>
            <w:r w:rsidRPr="001B0FD8">
              <w:rPr>
                <w:b/>
                <w:sz w:val="24"/>
                <w:szCs w:val="24"/>
              </w:rPr>
              <w:t>Date of event</w:t>
            </w:r>
          </w:p>
        </w:tc>
        <w:tc>
          <w:tcPr>
            <w:tcW w:w="1276" w:type="dxa"/>
          </w:tcPr>
          <w:p w:rsidR="00B526CB" w:rsidRPr="001B0FD8" w:rsidRDefault="00B526CB" w:rsidP="00A61BE2">
            <w:pPr>
              <w:rPr>
                <w:b/>
                <w:sz w:val="24"/>
                <w:szCs w:val="24"/>
              </w:rPr>
            </w:pPr>
            <w:r>
              <w:rPr>
                <w:b/>
                <w:sz w:val="24"/>
                <w:szCs w:val="24"/>
              </w:rPr>
              <w:t>Details</w:t>
            </w:r>
          </w:p>
        </w:tc>
        <w:tc>
          <w:tcPr>
            <w:tcW w:w="2977" w:type="dxa"/>
          </w:tcPr>
          <w:p w:rsidR="00B526CB" w:rsidRPr="001B0FD8" w:rsidRDefault="00B526CB" w:rsidP="00A61BE2">
            <w:pPr>
              <w:rPr>
                <w:b/>
                <w:sz w:val="24"/>
                <w:szCs w:val="24"/>
              </w:rPr>
            </w:pPr>
            <w:r>
              <w:rPr>
                <w:b/>
                <w:sz w:val="24"/>
                <w:szCs w:val="24"/>
              </w:rPr>
              <w:t>Discussed with Patient?</w:t>
            </w:r>
          </w:p>
        </w:tc>
        <w:tc>
          <w:tcPr>
            <w:tcW w:w="2268" w:type="dxa"/>
          </w:tcPr>
          <w:p w:rsidR="00B526CB" w:rsidRPr="001B0FD8" w:rsidRDefault="00B526CB" w:rsidP="00A61BE2">
            <w:pPr>
              <w:rPr>
                <w:b/>
                <w:sz w:val="24"/>
                <w:szCs w:val="24"/>
              </w:rPr>
            </w:pPr>
            <w:r>
              <w:rPr>
                <w:b/>
                <w:sz w:val="24"/>
                <w:szCs w:val="24"/>
              </w:rPr>
              <w:t>Level of Harm</w:t>
            </w:r>
          </w:p>
        </w:tc>
        <w:tc>
          <w:tcPr>
            <w:tcW w:w="2976" w:type="dxa"/>
          </w:tcPr>
          <w:p w:rsidR="00B526CB" w:rsidRPr="001B0FD8" w:rsidRDefault="00B526CB" w:rsidP="00A61BE2">
            <w:pPr>
              <w:rPr>
                <w:b/>
                <w:sz w:val="24"/>
                <w:szCs w:val="24"/>
              </w:rPr>
            </w:pPr>
            <w:r>
              <w:rPr>
                <w:b/>
                <w:sz w:val="24"/>
                <w:szCs w:val="24"/>
              </w:rPr>
              <w:t>Learning Points</w:t>
            </w:r>
          </w:p>
        </w:tc>
      </w:tr>
      <w:tr w:rsidR="00B526CB" w:rsidTr="00A61BE2">
        <w:tc>
          <w:tcPr>
            <w:tcW w:w="11902" w:type="dxa"/>
            <w:gridSpan w:val="6"/>
          </w:tcPr>
          <w:p w:rsidR="00B526CB" w:rsidRPr="001B0FD8" w:rsidRDefault="00B526CB" w:rsidP="00A61BE2">
            <w:pPr>
              <w:rPr>
                <w:sz w:val="24"/>
                <w:szCs w:val="24"/>
              </w:rPr>
            </w:pPr>
          </w:p>
          <w:p w:rsidR="00B526CB" w:rsidRPr="001B0FD8" w:rsidRDefault="00B526CB" w:rsidP="00A61BE2">
            <w:pPr>
              <w:rPr>
                <w:sz w:val="24"/>
                <w:szCs w:val="24"/>
              </w:rPr>
            </w:pPr>
            <w:r>
              <w:rPr>
                <w:sz w:val="24"/>
                <w:szCs w:val="24"/>
              </w:rPr>
              <w:t>From 1</w:t>
            </w:r>
            <w:r w:rsidRPr="001B0FD8">
              <w:rPr>
                <w:sz w:val="24"/>
                <w:szCs w:val="24"/>
                <w:vertAlign w:val="superscript"/>
              </w:rPr>
              <w:t>st</w:t>
            </w:r>
            <w:r>
              <w:rPr>
                <w:sz w:val="24"/>
                <w:szCs w:val="24"/>
              </w:rPr>
              <w:t xml:space="preserve"> April 2022 – 31</w:t>
            </w:r>
            <w:r w:rsidRPr="001B0FD8">
              <w:rPr>
                <w:sz w:val="24"/>
                <w:szCs w:val="24"/>
                <w:vertAlign w:val="superscript"/>
              </w:rPr>
              <w:t>st</w:t>
            </w:r>
            <w:r>
              <w:rPr>
                <w:sz w:val="24"/>
                <w:szCs w:val="24"/>
              </w:rPr>
              <w:t xml:space="preserve"> March 2023, there are no incidents to report</w:t>
            </w:r>
          </w:p>
          <w:p w:rsidR="00B526CB" w:rsidRPr="001B0FD8" w:rsidRDefault="00B526CB" w:rsidP="00A61BE2">
            <w:pPr>
              <w:rPr>
                <w:sz w:val="24"/>
                <w:szCs w:val="24"/>
              </w:rPr>
            </w:pPr>
          </w:p>
        </w:tc>
      </w:tr>
    </w:tbl>
    <w:p w:rsidR="00540D46" w:rsidRDefault="00540D46"/>
    <w:sectPr w:rsidR="00540D46" w:rsidSect="00B526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CB"/>
    <w:rsid w:val="00540D46"/>
    <w:rsid w:val="00B5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79D185-31D2-4E42-9EDA-854B17B2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6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tyofcandour@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Sharon</dc:creator>
  <cp:keywords/>
  <dc:description/>
  <cp:lastModifiedBy>Kirk, Sharon</cp:lastModifiedBy>
  <cp:revision>1</cp:revision>
  <dcterms:created xsi:type="dcterms:W3CDTF">2023-10-12T11:02:00Z</dcterms:created>
  <dcterms:modified xsi:type="dcterms:W3CDTF">2023-10-12T11:05:00Z</dcterms:modified>
</cp:coreProperties>
</file>